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9432"/>
        <w:gridCol w:w="1368"/>
      </w:tblGrid>
      <w:tr>
        <w:tc>
          <w:tcPr>
            <w:tcW w:type="dxa" w:w="5285"/>
            <w:vAlign w:val="center"/>
            <w:tcBorders>
              <w:top w:val="nil"/>
              <w:left w:val="nil"/>
              <w:bottom w:val="nil"/>
              <w:right w:val="nil"/>
              <w:insideH w:val="nil"/>
              <w:insideV w:val="nil"/>
            </w:tcBorders>
          </w:tcPr>
          <w:p>
            <w:pPr>
              <w:pStyle w:val="ResumeName"/>
            </w:pPr>
            <w:r>
              <w:t>SLAWEK STEC</w:t>
            </w:r>
          </w:p>
          <w:p>
            <w:pPr>
              <w:pStyle w:val="ResumeTitle"/>
            </w:pPr>
            <w:r>
              <w:t>NETWORK &amp; DATA CENTER INFRASTRUCTURE ENGINEER</w:t>
            </w:r>
          </w:p>
          <w:p>
            <w:pPr>
              <w:spacing w:before="40" w:after="0"/>
            </w:pPr>
            <w:r>
              <w:rPr>
                <w:color w:val="5A6066"/>
                <w:sz w:val="18"/>
              </w:rPr>
              <w:t xml:space="preserve">New York  |  +1 917-355-5055  |  </w:t>
            </w:r>
            <w:hyperlink r:id="rId9">
              <w:r>
                <w:rPr>
                  <w:color w:val="1B7480"/>
                  <w:u w:val="single"/>
                  <w:sz w:val="19"/>
                </w:rPr>
                <w:t>slawekstec@yahoo.com</w:t>
              </w:r>
            </w:hyperlink>
            <w:r>
              <w:rPr>
                <w:color w:val="5A6066"/>
                <w:sz w:val="18"/>
              </w:rPr>
              <w:t xml:space="preserve">  |  Digital Portfolio: </w:t>
            </w:r>
            <w:hyperlink r:id="rId10">
              <w:r>
                <w:rPr>
                  <w:color w:val="1B7480"/>
                  <w:u w:val="single"/>
                  <w:sz w:val="19"/>
                </w:rPr>
                <w:t>slawekstec.cv</w:t>
              </w:r>
            </w:hyperlink>
          </w:p>
          <w:p>
            <w:pPr>
              <w:spacing w:after="0"/>
            </w:pPr>
            <w:hyperlink r:id="rId11">
              <w:r>
                <w:rPr>
                  <w:color w:val="1B7480"/>
                  <w:u w:val="single"/>
                  <w:sz w:val="19"/>
                </w:rPr>
                <w:t>LinkedIn</w:t>
              </w:r>
            </w:hyperlink>
            <w:r>
              <w:rPr>
                <w:color w:val="5A6066"/>
              </w:rPr>
              <w:t xml:space="preserve">  |  </w:t>
            </w:r>
            <w:hyperlink r:id="rId12">
              <w:r>
                <w:rPr>
                  <w:color w:val="1B7480"/>
                  <w:u w:val="single"/>
                  <w:sz w:val="19"/>
                </w:rPr>
                <w:t>Active Certifications on Credly</w:t>
              </w:r>
            </w:hyperlink>
          </w:p>
        </w:tc>
        <w:tc>
          <w:tcPr>
            <w:tcW w:type="dxa" w:w="5285"/>
            <w:vAlign w:val="center"/>
            <w:tcBorders>
              <w:top w:val="nil"/>
              <w:left w:val="nil"/>
              <w:bottom w:val="nil"/>
              <w:right w:val="nil"/>
              <w:insideH w:val="nil"/>
              <w:insideV w:val="nil"/>
            </w:tcBorders>
          </w:tcPr>
          <w:p>
            <w:pPr>
              <w:jc w:val="right"/>
            </w:pPr>
            <w:r>
              <w:drawing>
                <wp:inline xmlns:a="http://schemas.openxmlformats.org/drawingml/2006/main" xmlns:pic="http://schemas.openxmlformats.org/drawingml/2006/picture">
                  <wp:extent cx="713232" cy="713232"/>
                  <wp:docPr id="1" name="Picture 1"/>
                  <wp:cNvGraphicFramePr>
                    <a:graphicFrameLocks noChangeAspect="1"/>
                  </wp:cNvGraphicFramePr>
                  <a:graphic>
                    <a:graphicData uri="http://schemas.openxmlformats.org/drawingml/2006/picture">
                      <pic:pic>
                        <pic:nvPicPr>
                          <pic:cNvPr id="0" name="slawekstec_qr.png"/>
                          <pic:cNvPicPr/>
                        </pic:nvPicPr>
                        <pic:blipFill>
                          <a:blip r:embed="rId13"/>
                          <a:stretch>
                            <a:fillRect/>
                          </a:stretch>
                        </pic:blipFill>
                        <pic:spPr>
                          <a:xfrm>
                            <a:off x="0" y="0"/>
                            <a:ext cx="713232" cy="713232"/>
                          </a:xfrm>
                          <a:prstGeom prst="rect"/>
                        </pic:spPr>
                      </pic:pic>
                    </a:graphicData>
                  </a:graphic>
                </wp:inline>
              </w:drawing>
            </w:r>
          </w:p>
          <w:p>
            <w:pPr>
              <w:spacing w:before="0"/>
              <w:jc w:val="right"/>
            </w:pPr>
            <w:r>
              <w:rPr>
                <w:color w:val="5A6066"/>
                <w:sz w:val="15"/>
              </w:rPr>
              <w:t>Portfolio</w:t>
            </w:r>
          </w:p>
        </w:tc>
      </w:tr>
    </w:tbl>
    <w:p>
      <w:pPr>
        <w:spacing w:before="20" w:after="80"/>
        <w:pBdr>
          <w:bottom w:val="single" w:sz="8" w:space="1" w:color="BFC9D2"/>
        </w:pBdr>
      </w:pPr>
    </w:p>
    <w:p>
      <w:pPr>
        <w:pStyle w:val="SectionHead"/>
        <w:spacing w:before="80" w:after="40"/>
      </w:pPr>
      <w:r>
        <w:t>PROFESSIONAL SUMMARY</w:t>
      </w:r>
    </w:p>
    <w:p>
      <w:pPr>
        <w:spacing w:after="40"/>
      </w:pPr>
      <w:r>
        <w:t>Network and data center infrastructure professional with extensive experience spanning hands-on data center operations, enterprise network engineering, infrastructure design, production change, and global network delivery. Experienced with Cisco Nexus and Catalyst environments, HLD/LLD development, IP planning, infrastructure migrations, operational data governance, and AI-assisted automation. Career progression from large-scale North America data center operations to global network infrastructure delivery for a Fortune 500 biopharmaceutical enterprise.</w:t>
      </w:r>
    </w:p>
    <w:p>
      <w:pPr>
        <w:spacing w:after="60"/>
      </w:pPr>
      <w:r>
        <w:rPr>
          <w:i/>
          <w:color w:val="5A6066"/>
          <w:sz w:val="19"/>
        </w:rPr>
        <w:t>Open to considering challenging opportunities that bring together enterprise networking, infrastructure design, production change, automation, and operational ownership. Strong professional interest in AI data center infrastructure, including the network, power, cooling, and operational challenges of high-density compute environments. Open to travel and field-based assignments.</w:t>
      </w:r>
    </w:p>
    <CT_P/>
    <w:p>
      <w:pPr>
        <w:pStyle w:val="SectionHead"/>
        <w:spacing w:before="80" w:after="40"/>
      </w:pPr>
      <w:r>
        <w:t>CORE EXPERTISE</w:t>
      </w:r>
    </w:p>
    <w:p>
      <w:pPr>
        <w:spacing w:after="60"/>
      </w:pPr>
      <w:r>
        <w:rPr>
          <w:sz w:val="18"/>
        </w:rPr>
        <w:t>Enterprise Networking  •  Data Center Infrastructure  •  Cisco Nexus / Catalyst  •  BGP  •  VLAN / STP / HSRP / vPC  •  IP Address Planning &amp; Subnet Sizing  •  HLD / LLD / BoM  •  Production Change  •  Network Migrations  •  Infrastructure Operations  •  Data Governance &amp; Assurance  •  AI-Assisted Automation</w:t>
      </w:r>
    </w:p>
    <w:p>
      <w:pPr>
        <w:pStyle w:val="SectionHead"/>
        <w:spacing w:before="80" w:after="40"/>
      </w:pPr>
      <w:r>
        <w:t>PROFESSIONAL EXPERIENCE</w:t>
      </w:r>
    </w:p>
    <w:p>
      <w:pPr>
        <w:spacing w:before="60" w:after="20"/>
      </w:pPr>
      <w:r>
        <w:rPr>
          <w:b/>
          <w:color w:val="232323"/>
          <w:sz w:val="20"/>
        </w:rPr>
        <w:t>Network Designer / Customer Solution Design Professional</w:t>
      </w:r>
      <w:r>
        <w:rPr>
          <w:b/>
          <w:color w:val="1B7480"/>
          <w:sz w:val="19"/>
        </w:rPr>
        <w:t xml:space="preserve">  |  British Telecommunications (BT)  |  2022 - Present</w:t>
      </w:r>
    </w:p>
    <w:p>
      <w:pPr>
        <w:pStyle w:val="ResumeBullet"/>
      </w:pPr>
      <w:r>
        <w:rPr>
          <w:b/>
        </w:rPr>
        <w:t xml:space="preserve">• </w:t>
      </w:r>
      <w:r>
        <w:t>Global network infrastructure delivery for a Fortune 500 biopharmaceutical enterprise.</w:t>
      </w:r>
    </w:p>
    <w:p>
      <w:pPr>
        <w:pStyle w:val="ResumeBullet"/>
      </w:pPr>
      <w:r>
        <w:rPr>
          <w:b/>
        </w:rPr>
        <w:t xml:space="preserve">• </w:t>
      </w:r>
      <w:r>
        <w:t>Develop HLDs, LLDs, BoMs, device configurations, rack elevations, patching/cabling documentation, and implementation-ready technical designs.</w:t>
      </w:r>
    </w:p>
    <w:p>
      <w:pPr>
        <w:pStyle w:val="ResumeBullet"/>
      </w:pPr>
      <w:r>
        <w:rPr>
          <w:b/>
        </w:rPr>
        <w:t xml:space="preserve">• </w:t>
      </w:r>
      <w:r>
        <w:t>Configure and support Cisco Nexus and Catalyst infrastructure across enterprise data center and campus environments.</w:t>
      </w:r>
    </w:p>
    <w:p>
      <w:pPr>
        <w:pStyle w:val="ResumeBullet"/>
      </w:pPr>
      <w:r>
        <w:rPr>
          <w:b/>
        </w:rPr>
        <w:t xml:space="preserve">• </w:t>
      </w:r>
      <w:r>
        <w:t>Global network infrastructure migrations, router and switch replacement, AP refresh, data tracker deployments, decommissioning, and data center change activities.</w:t>
      </w:r>
    </w:p>
    <w:p>
      <w:pPr>
        <w:pStyle w:val="ResumeBullet"/>
      </w:pPr>
      <w:r>
        <w:rPr>
          <w:b/>
        </w:rPr>
        <w:t xml:space="preserve">• </w:t>
      </w:r>
      <w:r>
        <w:t>Plan VLAN addressing and subnet capacity based on endpoint requirements; coordinate required IP allocations and supporting network readiness.</w:t>
      </w:r>
    </w:p>
    <w:p>
      <w:pPr>
        <w:pStyle w:val="ResumeBullet"/>
      </w:pPr>
      <w:r>
        <w:rPr>
          <w:b/>
        </w:rPr>
        <w:t xml:space="preserve">• </w:t>
      </w:r>
      <w:r>
        <w:t>Support SD-WAN onboarding readiness by coordinating management IP provisioning, SSMO requests, connectivity validation, and device preparation for vManage onboarding.</w:t>
      </w:r>
    </w:p>
    <w:p>
      <w:pPr>
        <w:pStyle w:val="ResumeBullet"/>
      </w:pPr>
      <w:r>
        <w:rPr>
          <w:b/>
        </w:rPr>
        <w:t xml:space="preserve">• </w:t>
      </w:r>
      <w:r>
        <w:t>Support a global enterprise Wi-Fi environment with 9,000+ access points, using WLC platforms for wireless control and Cisco Catalyst Center for visibility, assurance, and rapid troubleshooting of degraded or failed APs.</w:t>
      </w:r>
    </w:p>
    <w:p>
      <w:pPr>
        <w:pStyle w:val="ResumeBullet"/>
      </w:pPr>
      <w:r>
        <w:rPr>
          <w:b/>
        </w:rPr>
        <w:t xml:space="preserve">• </w:t>
      </w:r>
      <w:r>
        <w:t>Execute production change planning and implementation, including CRQs, implementation procedures, risk assessment, rollback planning, post-change validation, and operational handoff.</w:t>
      </w:r>
    </w:p>
    <w:p>
      <w:pPr>
        <w:pStyle w:val="ResumeBullet"/>
      </w:pPr>
      <w:r>
        <w:rPr>
          <w:b/>
        </w:rPr>
        <w:t xml:space="preserve">• </w:t>
      </w:r>
      <w:r>
        <w:t>Use NetBrain, NCM, TSNA, Cisco CSPC, and Cisco Catalyst Center to maintain infrastructure visibility, configuration/lifecycle awareness, and operational accuracy.</w:t>
      </w:r>
    </w:p>
    <w:p>
      <w:pPr>
        <w:pStyle w:val="ResumeBullet"/>
      </w:pPr>
      <w:r>
        <w:rPr>
          <w:b/>
        </w:rPr>
        <w:t xml:space="preserve">• </w:t>
      </w:r>
      <w:r>
        <w:t>Perform NX-OS image validation, checksum verification, upgrade execution, and post-upgrade validation.</w:t>
      </w:r>
    </w:p>
    <w:p>
      <w:pPr>
        <w:pStyle w:val="ResumeBullet"/>
      </w:pPr>
      <w:r>
        <w:rPr>
          <w:b/>
        </w:rPr>
        <w:t xml:space="preserve">• </w:t>
      </w:r>
      <w:r>
        <w:t>Support end-to-end infrastructure delivery from requirements, HLD/LLD and BoM development through change planning, implementation, validation, and operational support.</w:t>
      </w:r>
    </w:p>
    <w:p>
      <w:pPr>
        <w:spacing w:before="60" w:after="20"/>
      </w:pPr>
      <w:r>
        <w:rPr>
          <w:b/>
          <w:color w:val="232323"/>
          <w:sz w:val="20"/>
        </w:rPr>
        <w:t>Regional Data Center Operations / Senior Network Consultant</w:t>
      </w:r>
      <w:r>
        <w:rPr>
          <w:b/>
          <w:color w:val="1B7480"/>
          <w:sz w:val="19"/>
        </w:rPr>
        <w:t xml:space="preserve">  |  British Telecommunications (BT) / Unilever  |  2015 - 2022</w:t>
      </w:r>
    </w:p>
    <w:p>
      <w:pPr>
        <w:spacing w:after="40"/>
      </w:pPr>
      <w:r>
        <w:rPr>
          <w:i/>
          <w:color w:val="5A6066"/>
          <w:sz w:val="18"/>
        </w:rPr>
        <w:t>Large-scale North America data center and network infrastructure operations for a major global consumer goods enterprise, supporting 5 major HUB locations and hundreds of IDFs across critical business environments.</w:t>
      </w:r>
    </w:p>
    <w:p>
      <w:pPr>
        <w:pStyle w:val="ResumeBullet"/>
      </w:pPr>
      <w:r>
        <w:rPr>
          <w:b/>
        </w:rPr>
        <w:t xml:space="preserve">• </w:t>
      </w:r>
      <w:r>
        <w:t>Owned day-to-day data center and network infrastructure operations across major North America HUBs, IDFs, colocation facilities, and remote sites.</w:t>
      </w:r>
    </w:p>
    <w:p>
      <w:pPr>
        <w:pStyle w:val="ResumeBullet"/>
      </w:pPr>
      <w:r>
        <w:rPr>
          <w:b/>
        </w:rPr>
        <w:t xml:space="preserve">• </w:t>
      </w:r>
      <w:r>
        <w:t>Performed rack-and-stack, structured cabling, patching, circuit and port coordination, power provisioning, remote-hands coordination, and infrastructure maintenance.</w:t>
      </w:r>
    </w:p>
    <w:p>
      <w:pPr>
        <w:pStyle w:val="ResumeBullet"/>
      </w:pPr>
      <w:r>
        <w:rPr>
          <w:b/>
        </w:rPr>
        <w:t xml:space="preserve">• </w:t>
      </w:r>
      <w:r>
        <w:t>Supported infrastructure involving UPS/PDU systems, generators, cooling environments, carrier facilities, and physical data center dependencies.</w:t>
      </w:r>
    </w:p>
    <w:p>
      <w:pPr>
        <w:pStyle w:val="ResumeBullet"/>
      </w:pPr>
      <w:r>
        <w:rPr>
          <w:b/>
        </w:rPr>
        <w:t xml:space="preserve">• </w:t>
      </w:r>
      <w:r>
        <w:t>Handled incident response, troubleshooting, service restoration, and root cause analysis (RCA) for infrastructure-impacting events.</w:t>
      </w:r>
    </w:p>
    <w:p>
      <w:pPr>
        <w:pStyle w:val="ResumeBullet"/>
      </w:pPr>
      <w:r>
        <w:rPr>
          <w:b/>
        </w:rPr>
        <w:t xml:space="preserve">• </w:t>
      </w:r>
      <w:r>
        <w:t>Maintained device and asset records, lifecycle status, topology/dependency information, and operational documentation across enterprise environments.</w:t>
      </w:r>
    </w:p>
    <w:p>
      <w:r/>
    </w:p>
    <w:p>
      <w:pPr>
        <w:pStyle w:val="SectionHead"/>
        <w:spacing w:before="80" w:after="40"/>
      </w:pPr>
      <w:r>
        <w:t>INFRASTRUCTURE DATA AUTOMATION, GOVERNANCE &amp; ASSURANCE</w:t>
      </w:r>
    </w:p>
    <w:p>
      <w:pPr>
        <w:pStyle w:val="ResumeBullet"/>
      </w:pPr>
      <w:r>
        <w:rPr>
          <w:b/>
        </w:rPr>
        <w:t xml:space="preserve">• </w:t>
      </w:r>
      <w:r>
        <w:t>Apply infrastructure data governance and assurance practices through automated validation, reconciliation, normalization, duplicate detection, asset verification, and cross-system consistency checks across 2,000+ devices.</w:t>
      </w:r>
    </w:p>
    <w:p>
      <w:pPr>
        <w:pStyle w:val="ResumeBullet"/>
      </w:pPr>
      <w:r>
        <w:rPr>
          <w:b/>
        </w:rPr>
        <w:t xml:space="preserve">• </w:t>
      </w:r>
      <w:r>
        <w:t>Use AI-assisted development to build custom “VBA Engines” that automate infrastructure data analysis, validation, reconciliation, and reporting while reducing manual effort and data-entry risk.</w:t>
      </w:r>
    </w:p>
    <w:p>
      <w:pPr>
        <w:pStyle w:val="ResumeBullet"/>
      </w:pPr>
      <w:r>
        <w:rPr>
          <w:b/>
        </w:rPr>
        <w:t xml:space="preserve">• </w:t>
      </w:r>
      <w:r>
        <w:t>Automate serial-number matching, mismatch detection, asset mapping, record cleanup, and AssetForm population across multiple enterprise data sources.</w:t>
      </w:r>
    </w:p>
    <w:p>
      <w:pPr>
        <w:pStyle w:val="ResumeBullet"/>
      </w:pPr>
      <w:r>
        <w:rPr>
          <w:b/>
        </w:rPr>
        <w:t xml:space="preserve">• </w:t>
      </w:r>
      <w:r>
        <w:t>Translate operational data-quality issues into repeatable controls that improve infrastructure accuracy, traceability, and readiness for engineering and support teams.</w:t>
      </w:r>
    </w:p>
    <w:p>
      <w:pPr>
        <w:pStyle w:val="SectionHead"/>
        <w:spacing w:before="80" w:after="40"/>
      </w:pPr>
      <w:r>
        <w:t>NETWORK &amp; DATA CENTER TECHNICAL SCOPE</w:t>
      </w:r>
    </w:p>
    <w:p>
      <w:pPr>
        <w:pStyle w:val="ResumeBullet"/>
      </w:pPr>
      <w:r>
        <w:rPr>
          <w:b/>
        </w:rPr>
        <w:t xml:space="preserve">• </w:t>
      </w:r>
      <w:r/>
      <w:r>
        <w:t>Deployment and onboarding readiness for Cisco Catalyst 8300 / 8500 platforms within SD-WAN environments.</w:t>
      </w:r>
    </w:p>
    <w:p>
      <w:pPr>
        <w:pStyle w:val="ResumeBullet"/>
      </w:pPr>
      <w:r>
        <w:rPr>
          <w:b/>
        </w:rPr>
        <w:t xml:space="preserve">• </w:t>
      </w:r>
      <w:r>
        <w:t>Routing and switching: BGP, EIGRP, VLANs, STP, HSRP, vPC, Port-Channels, ARP, MAC tracing, VSS, ACLs, and TCP/IP fundamentals.</w:t>
      </w:r>
    </w:p>
    <w:p>
      <w:pPr>
        <w:pStyle w:val="ResumeBullet"/>
      </w:pPr>
      <w:r>
        <w:rPr>
          <w:b/>
        </w:rPr>
        <w:t xml:space="preserve">• </w:t>
      </w:r>
      <w:r>
        <w:t>IP planning: VLAN capacity estimation, subnet sizing, CIDR allocation coordination, management IP planning, and address readiness for deployments.</w:t>
      </w:r>
    </w:p>
    <w:p>
      <w:pPr>
        <w:pStyle w:val="ResumeBullet"/>
      </w:pPr>
      <w:r>
        <w:rPr>
          <w:b/>
        </w:rPr>
        <w:t xml:space="preserve">• </w:t>
      </w:r>
      <w:r>
        <w:t>Data center infrastructure: MDF/IDF, rack layouts, copper/fiber cabling, patching, circuits, power, UPS/PDU, generators, cooling, colocation, carrier-hotel, and remote hands.</w:t>
      </w:r>
    </w:p>
    <w:p>
      <w:pPr>
        <w:pStyle w:val="ResumeBullet"/>
      </w:pPr>
      <w:r>
        <w:rPr>
          <w:b/>
        </w:rPr>
        <w:t xml:space="preserve">• </w:t>
      </w:r>
      <w:r>
        <w:t>Wireless: predictive and active Ekahau surveys; WLC operational support; Cisco Catalyst Center assurance and troubleshooting.</w:t>
      </w:r>
    </w:p>
    <w:p>
      <w:pPr>
        <w:pStyle w:val="ResumeBullet"/>
      </w:pPr>
      <w:r>
        <w:rPr>
          <w:b/>
        </w:rPr>
        <w:t xml:space="preserve">• </w:t>
      </w:r>
      <w:r>
        <w:t>Network operations and monitoring: NetBrain, NCM, TSNA, Cisco CSPC, Cisco Catalyst Center, device inventory/lifecycle validation, and configuration visibility.</w:t>
      </w:r>
    </w:p>
    <w:p>
      <w:pPr>
        <w:pStyle w:val="ResumeBullet"/>
      </w:pPr>
      <w:r>
        <w:rPr>
          <w:b/>
        </w:rPr>
        <w:t xml:space="preserve">• </w:t>
      </w:r>
      <w:r>
        <w:t>Change management: implementation planning, CRQs, risk/rollback documentation, validation, troubleshooting, RCA, and operational handoff.</w:t>
      </w:r>
    </w:p>
    <w:p>
      <w:pPr>
        <w:pStyle w:val="ResumeBullet"/>
      </w:pPr>
      <w:r>
        <w:rPr>
          <w:b/>
        </w:rPr>
        <w:t xml:space="preserve">• </w:t>
      </w:r>
      <w:r>
        <w:t>Global Fabric / NaaS exposure within modern global network infrastructure delivery environments.</w:t>
      </w:r>
    </w:p>
    <w:p>
      <w:pPr>
        <w:pStyle w:val="SectionHead"/>
        <w:spacing w:before="80" w:after="40"/>
      </w:pPr>
      <w:r>
        <w:t>CURRENT CREDENTIALS</w:t>
      </w:r>
    </w:p>
    <w:p>
      <w:pPr>
        <w:pStyle w:val="ResumeBullet"/>
      </w:pPr>
      <w:r>
        <w:rPr>
          <w:b/>
        </w:rPr>
        <w:t xml:space="preserve">• </w:t>
      </w:r>
      <w:r>
        <w:t>Cisco CCNP - active</w:t>
      </w:r>
    </w:p>
    <w:p>
      <w:pPr>
        <w:pStyle w:val="ResumeBullet"/>
      </w:pPr>
      <w:r>
        <w:rPr>
          <w:b/>
        </w:rPr>
        <w:t xml:space="preserve">• </w:t>
      </w:r>
      <w:r>
        <w:t>AWS Certified Cloud Practitioner</w:t>
      </w:r>
    </w:p>
    <w:p>
      <w:pPr>
        <w:pStyle w:val="ResumeBullet"/>
      </w:pPr>
      <w:r>
        <w:rPr>
          <w:b/>
        </w:rPr>
        <w:t xml:space="preserve">• </w:t>
      </w:r>
      <w:r>
        <w:t>Cisco Data Center Fundamentals (DCFNDU)</w:t>
      </w:r>
    </w:p>
    <w:p>
      <w:pPr>
        <w:pStyle w:val="ResumeBullet"/>
      </w:pPr>
      <w:r>
        <w:rPr>
          <w:b/>
        </w:rPr>
        <w:t xml:space="preserve">• </w:t>
      </w:r>
      <w:r>
        <w:t>Managing Cisco Network Operating Systems</w:t>
      </w:r>
    </w:p>
    <w:p>
      <w:pPr>
        <w:spacing w:after="60"/>
      </w:pPr>
      <w:r>
        <w:rPr>
          <w:b/>
        </w:rPr>
        <w:t xml:space="preserve">Verification: </w:t>
      </w:r>
      <w:hyperlink r:id="rId12">
        <w:r>
          <w:rPr>
            <w:color w:val="1B7480"/>
            <w:u w:val="single"/>
            <w:sz w:val="19"/>
          </w:rPr>
          <w:t>Credly profile</w:t>
        </w:r>
      </w:hyperlink>
    </w:p>
    <w:p>
      <w:pPr>
        <w:pStyle w:val="SectionHead"/>
        <w:spacing w:before="80" w:after="40"/>
      </w:pPr>
      <w:r>
        <w:t>ADDITIONAL TECHNICAL SKILLS</w:t>
      </w:r>
    </w:p>
    <w:p>
      <w:pPr>
        <w:spacing w:after="40"/>
      </w:pPr>
      <w:r>
        <w:rPr>
          <w:rFonts w:ascii="Aptos" w:hAnsi="Aptos"/>
        </w:rPr>
        <w:t>Python scripting fundamentals • Ubuntu • AWS EC2 / VPC / IAM / S3 fundamentals • Cisco configuration development with scripting to accelerate implementation • technical documentation • Visio-style topology and rack documentation • enterprise troubleshooting • BMC Remedy (service requests / operational workflows) • ServiceNow (working familiarity)</w:t>
      </w:r>
    </w:p>
    <w:p/>
    <w:p>
      <w:pPr>
        <w:spacing w:before="60" w:after="0"/>
        <w:jc w:val="center"/>
      </w:pPr>
      <w:r>
        <w:rPr>
          <w:b/>
          <w:i/>
          <w:color w:val="18314A"/>
          <w:sz w:val="17"/>
        </w:rPr>
        <w:t>Great data centers are built not only on technology, but on the discipline, ownership, and character of the people who operate them.</w:t>
      </w:r>
    </w:p>
    <w:sectPr w:rsidR="00FC693F" w:rsidRPr="0006063C" w:rsidSect="00034616">
      <w:footerReference w:type="default" r:id="rId14"/>
      <w:pgSz w:w="12240" w:h="15840"/>
      <w:pgMar w:top="648" w:right="835" w:bottom="648"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066"/>
        <w:sz w:val="16"/>
      </w:rPr>
      <w:t>From the Data Center Floor to Global Network Engineering.   |   Digital Portfolio: slawekstec.cv</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3232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Name">
    <w:name w:val="Resume Name"/>
    <w:pPr>
      <w:spacing w:after="40"/>
    </w:pPr>
    <w:rPr>
      <w:rFonts w:ascii="Aptos Display" w:hAnsi="Aptos Display"/>
      <w:b/>
      <w:color w:val="18314A"/>
      <w:sz w:val="40"/>
    </w:rPr>
  </w:style>
  <w:style w:type="paragraph" w:customStyle="1" w:styleId="ResumeTitle">
    <w:name w:val="Resume Title"/>
    <w:pPr>
      <w:spacing w:after="40"/>
    </w:pPr>
    <w:rPr>
      <w:rFonts w:ascii="Aptos" w:hAnsi="Aptos"/>
      <w:b/>
      <w:color w:val="1B7480"/>
      <w:sz w:val="21"/>
    </w:rPr>
  </w:style>
  <w:style w:type="paragraph" w:customStyle="1" w:styleId="SectionHead">
    <w:name w:val="Section Head"/>
    <w:pPr>
      <w:spacing w:after="20" w:before="40"/>
    </w:pPr>
    <w:rPr>
      <w:rFonts w:ascii="Aptos Display" w:hAnsi="Aptos Display"/>
      <w:b/>
      <w:color w:val="18314A"/>
      <w:sz w:val="23"/>
    </w:rPr>
  </w:style>
  <w:style w:type="paragraph" w:customStyle="1" w:styleId="RoleHead">
    <w:name w:val="Role Head"/>
    <w:pPr>
      <w:spacing w:after="40"/>
    </w:pPr>
    <w:rPr>
      <w:rFonts w:ascii="Aptos" w:hAnsi="Aptos"/>
      <w:b/>
      <w:color w:val="232323"/>
      <w:sz w:val="20"/>
    </w:rPr>
  </w:style>
  <w:style w:type="paragraph" w:customStyle="1" w:styleId="ResumeBullet">
    <w:name w:val="Resume Bullet"/>
    <w:pPr>
      <w:spacing w:after="20" w:line="240" w:lineRule="auto"/>
      <w:ind w:left="259" w:hanging="173"/>
    </w:pPr>
    <w:rPr>
      <w:rFonts w:ascii="Aptos" w:hAnsi="Aptos"/>
      <w:color w:val="232323"/>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slawekstec@yahoo.com" TargetMode="External"/><Relationship Id="rId10" Type="http://schemas.openxmlformats.org/officeDocument/2006/relationships/hyperlink" Target="https://slawekstec.cv" TargetMode="External"/><Relationship Id="rId11" Type="http://schemas.openxmlformats.org/officeDocument/2006/relationships/hyperlink" Target="https://www.linkedin.com/in/slawomir-s-6620a450" TargetMode="External"/><Relationship Id="rId12" Type="http://schemas.openxmlformats.org/officeDocument/2006/relationships/hyperlink" Target="https://www.credly.com/users/slawomir-stec/badges#credly" TargetMode="External"/><Relationship Id="rId13"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